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95F" w:rsidRDefault="006F463E" w:rsidP="006F463E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sz w:val="24"/>
          <w:szCs w:val="24"/>
          <w:lang w:val="lt"/>
        </w:rPr>
      </w:pPr>
      <w:r>
        <w:rPr>
          <w:rFonts w:ascii="Times New Roman" w:hAnsi="Times New Roman"/>
          <w:b/>
          <w:sz w:val="24"/>
          <w:szCs w:val="24"/>
          <w:lang w:val="lt"/>
        </w:rPr>
        <w:t>Kaišiadorių r. Rumšiškių Antano Baranausko gimnazija</w:t>
      </w:r>
    </w:p>
    <w:tbl>
      <w:tblPr>
        <w:tblpPr w:leftFromText="180" w:rightFromText="180" w:vertAnchor="page" w:horzAnchor="margin" w:tblpY="2148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10"/>
      </w:tblGrid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</w:tcPr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577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"/>
              </w:rPr>
              <w:t>Nurodykite 2022 m. (202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"/>
              </w:rPr>
              <w:t>1–2022</w:t>
            </w:r>
            <w:r w:rsidRPr="00F577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"/>
              </w:rPr>
              <w:t xml:space="preserve"> m. m.) tobulintos veiklos rodiklį ir raktinį žodį</w:t>
            </w: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57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222  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Diferencijavimas, individualizavimas, suasmeninimas </w:t>
            </w: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</w:tcPr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577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"/>
              </w:rPr>
              <w:t>Kokį poveikį mokyklos pažangai turėjo pasirinktos veiklos tobulinimas?</w:t>
            </w: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1432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</w:pPr>
            <w:r w:rsidRPr="00E044E9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100 proc. mokinių įgijo pradinį, pagrindinį ir vidurinį išsilavinimą.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NMPP rezultatai yra aukštesni už šalies: 4 kl. matematikos 2,5 proc.; 8 kl. skaitymo 2,2 proc., matematikos 1,5 proc., gamtos mokslų 1,3 proc. ir socialinių mokslų 3,4 proc.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NMPP rezultatai aukštesni už savivaldybės: 4 kl. skaitymo 1,6 proc.; matematikos 10,4 proc.; 6 kl. skaitymo ir matematikos 0,3 proc; 8 kl. skaitymo 2,4 proc., matematikos 7,6 proc., gamtos mokslų 6,5 proc. ir socialinių mokslų 8,3 proc.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4E9">
              <w:rPr>
                <w:rFonts w:ascii="Times New Roman" w:hAnsi="Times New Roman"/>
                <w:sz w:val="24"/>
                <w:szCs w:val="24"/>
              </w:rPr>
              <w:t xml:space="preserve">PUPP matematikos </w:t>
            </w:r>
            <w:r>
              <w:rPr>
                <w:rFonts w:ascii="Times New Roman" w:hAnsi="Times New Roman"/>
                <w:sz w:val="24"/>
                <w:szCs w:val="24"/>
              </w:rPr>
              <w:t>gautų pažymių</w:t>
            </w:r>
            <w:r w:rsidRPr="00E044E9">
              <w:rPr>
                <w:rFonts w:ascii="Times New Roman" w:hAnsi="Times New Roman"/>
                <w:sz w:val="24"/>
                <w:szCs w:val="24"/>
              </w:rPr>
              <w:t xml:space="preserve"> vidurkis yra 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044E9">
              <w:rPr>
                <w:rFonts w:ascii="Times New Roman" w:hAnsi="Times New Roman"/>
                <w:sz w:val="24"/>
                <w:szCs w:val="24"/>
              </w:rPr>
              <w:t xml:space="preserve">3 aukštesnis už </w:t>
            </w:r>
            <w:r>
              <w:rPr>
                <w:rFonts w:ascii="Times New Roman" w:hAnsi="Times New Roman"/>
                <w:sz w:val="24"/>
                <w:szCs w:val="24"/>
              </w:rPr>
              <w:t>savivaldybės pašymio</w:t>
            </w:r>
            <w:r w:rsidRPr="00E044E9">
              <w:rPr>
                <w:rFonts w:ascii="Times New Roman" w:hAnsi="Times New Roman"/>
                <w:sz w:val="24"/>
                <w:szCs w:val="24"/>
              </w:rPr>
              <w:t xml:space="preserve"> vidurkį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0,15 balo už šalies pažymio vidurkis. Lietuvių k. ir literatūros pažymio vidurkis yra 1,15 balo aukštesnis už šalies vidurkį ir 1,22 balo už savivaldybės.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Daugumos dalykų VBE įvertinimų vidurkiai yra aukštesni už šalies: lietuvių k. ir literatūra – 13,7; informacinės technologijos –23,5; istorija – 15,6; užsienio k. (anglų) – 9,9; matematika – 6,6 ir biologija – 5,5 balo.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Šešių dalykų VBE įvertinimų vidurkiai yra aukštesni už savivaldybės: lietuvių k. ir literatūra – 8,6; informacinės technologijos –5,5; istorija – 18,5; užsienio k. (anglų) –19,4; matematika – 7,6 ir biologija – 11,3  balo.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Mokyklos 2022</w:t>
            </w:r>
            <w:r w:rsidR="00E64EF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 VBE balų vidurkiai palyginant su šalies ir savivaldybės mokyklų rezultatais, naudojant standartizuotus taškus yra aukštesni visų dalykų, išskyrus geografijos, fizikos ir chemijos.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Vidutinis visų VBE įvertinimų vidurkis yra aukštesnis už savivaldybės 10,37 ir 8,44 už šalies.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I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šaugo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4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-ių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dalykų 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VBE (36-100 balų) kokybės rodiklis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 lyginant su 2021 m.: lietuvių k. ir literatūros –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9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 proc.,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informacinių technologijų – 20,8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 proc.,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istorijos – 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8,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6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 proc.,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užsienio k. (anglų) – 11 proc.</w:t>
            </w:r>
          </w:p>
          <w:p w:rsidR="006F463E" w:rsidRPr="002B2F74" w:rsidRDefault="006F463E" w:rsidP="00AA50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2F74">
              <w:rPr>
                <w:rFonts w:ascii="Times New Roman" w:hAnsi="Times New Roman"/>
                <w:iCs/>
                <w:sz w:val="24"/>
                <w:szCs w:val="24"/>
              </w:rPr>
              <w:t>Valstybinių brandos egzaminų STEAM dalykų įvertinimų vidurkis padidėjo lyginant su 2021 m. ir jis yra 1,64 balo aukštesnis.</w:t>
            </w:r>
          </w:p>
          <w:p w:rsidR="006F463E" w:rsidRPr="007B1974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</w:tcPr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577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"/>
              </w:rPr>
              <w:t>Tobulintos veiklos poveikis mokiniams: kaip keitėsi mokinių pasiekimų lygmenys?</w:t>
            </w: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F463E" w:rsidRPr="002B2F74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</w:pPr>
            <w:r w:rsidRPr="002B2F74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Stebimas nežymus gimnazijos mokinių metinio pažangumo rodiklio pokytis +0,79 proc. </w:t>
            </w:r>
          </w:p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L</w:t>
            </w:r>
            <w:r w:rsidRPr="002B2F74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yginant pastarųjų dvejų metų rezultatus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pagerėjo 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>STEAM mokomųjų dalykų pažymio vidurkis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atematika –0,07;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g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>amta ir žmogus/biologija –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0,24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hemija – 0,29;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nformacinės technologijos – 0,27;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ailė – 0,61;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>echnologijos –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1,03. </w:t>
            </w:r>
          </w:p>
          <w:p w:rsidR="006F463E" w:rsidRPr="002B2F74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</w:pPr>
            <w:r w:rsidRPr="002B2F74">
              <w:rPr>
                <w:rFonts w:ascii="Times New Roman" w:hAnsi="Times New Roman"/>
                <w:sz w:val="24"/>
                <w:szCs w:val="24"/>
                <w:lang w:eastAsia="en-US"/>
              </w:rPr>
              <w:t>2021 m. STEAM dalykų pažymio vidurkis buvo 7,43, o 2022 m. jis padidėjo 0,27 dalimi ir yra 7,7.</w:t>
            </w:r>
          </w:p>
          <w:p w:rsidR="006F463E" w:rsidRPr="002B2F74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2F74">
              <w:rPr>
                <w:rFonts w:ascii="Times New Roman" w:hAnsi="Times New Roman"/>
                <w:iCs/>
                <w:sz w:val="24"/>
                <w:szCs w:val="24"/>
              </w:rPr>
              <w:t xml:space="preserve">51,24 proc. mokinių padarė pažangą. 1,7 proc. sumažėjo nepatenkinamu lygiu besimokančių mokinių. </w:t>
            </w:r>
          </w:p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</w:tcPr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577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"/>
              </w:rPr>
              <w:t>Tobulintos veiklos poveikis mokiniams: kokį poveikį pasirinktos veiklos tobulinimas turėjo mokinių pažangai?</w:t>
            </w: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1432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F463E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</w:pP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Beveik visiems (9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6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 proc.) mokiniams yra svarbu mokytis. Išaugo bendras gimnazijos mokinių mokymosi pasiekimų vidurkis: kokybinis pokytis mokslo metų pabaigoje + 5,15 proc. </w:t>
            </w:r>
          </w:p>
          <w:p w:rsidR="006F463E" w:rsidRPr="00822D92" w:rsidRDefault="006F463E" w:rsidP="00AA50C1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822D92">
              <w:rPr>
                <w:rFonts w:ascii="Times New Roman" w:hAnsi="Times New Roman"/>
                <w:sz w:val="24"/>
                <w:szCs w:val="24"/>
                <w:lang w:val="lt"/>
              </w:rPr>
              <w:t>100% 1–8 klasių mokinių išsikelia</w:t>
            </w:r>
            <w:r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Pr="00822D92">
              <w:rPr>
                <w:rFonts w:ascii="Times New Roman" w:hAnsi="Times New Roman"/>
                <w:sz w:val="24"/>
                <w:szCs w:val="24"/>
                <w:lang w:val="lt"/>
              </w:rPr>
              <w:t>asmeninės pažangos savistabos tikslus, reflektuoja savo pasiekimus ir priima sprendimus dėl</w:t>
            </w:r>
            <w:r>
              <w:rPr>
                <w:rFonts w:ascii="Times New Roman" w:hAnsi="Times New Roman"/>
                <w:sz w:val="24"/>
                <w:szCs w:val="24"/>
                <w:lang w:val="lt"/>
              </w:rPr>
              <w:t xml:space="preserve"> tolimesnių veiksmų.</w:t>
            </w:r>
          </w:p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</w:tcPr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577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"/>
              </w:rPr>
              <w:lastRenderedPageBreak/>
              <w:t>Tobulintos veiklos poveikis mokiniams: kokios papildomos sąlygos buvo sudarytos mokinių asmenybės ugdymui tobulinant pasirinktą veiklą?</w:t>
            </w:r>
          </w:p>
        </w:tc>
      </w:tr>
      <w:tr w:rsidR="006F463E" w:rsidRPr="00F577AB" w:rsidTr="00AA50C1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F463E" w:rsidRPr="00F437C9" w:rsidRDefault="006F463E" w:rsidP="00AA5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Mokytojų kolektyvas dalyvavo ilgalaikėje kvalifikacijos tobulinimo programoje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r w:rsidRPr="00F437C9">
              <w:rPr>
                <w:rFonts w:ascii="Times New Roman" w:hAnsi="Times New Roman"/>
                <w:sz w:val="24"/>
                <w:szCs w:val="24"/>
              </w:rPr>
              <w:t>Individualizuoto-diferencijuoto ugdymo modelio praktinis įgyvendinimas mokykloje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F437C9">
              <w:rPr>
                <w:rFonts w:ascii="Times New Roman" w:hAnsi="Times New Roman"/>
                <w:sz w:val="24"/>
                <w:szCs w:val="24"/>
              </w:rPr>
              <w:t>(40 val.)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463E" w:rsidRPr="00F577AB" w:rsidRDefault="006F463E" w:rsidP="00AA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>Atnaujinta</w:t>
            </w:r>
            <w:r w:rsidRPr="00F577AB"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 gamtos mokslų mokymosi aplinka, kur mokiniai atlikdami bandymus, praktinius darbus stiprina stebėjimo, tyrinėjimo ir eksperimentavimo įgūdžius.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"/>
              </w:rPr>
              <w:t xml:space="preserve"> III klasės mokiniams sudaryta galimybė mokytis ,,Išmaniosios inžinerijos“. Skatinama ugdomoji veikla už mokyklos ribų organizuojant tikslingas išvykas į muziejus, laboratorijas bei pasirenkant įvairias edukacines programas. </w:t>
            </w:r>
          </w:p>
        </w:tc>
      </w:tr>
    </w:tbl>
    <w:p w:rsidR="006F463E" w:rsidRPr="002B2F74" w:rsidRDefault="006F463E" w:rsidP="006F463E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sz w:val="24"/>
          <w:szCs w:val="24"/>
          <w:lang w:val="lt"/>
        </w:rPr>
      </w:pPr>
    </w:p>
    <w:sectPr w:rsidR="006F463E" w:rsidRPr="002B2F74" w:rsidSect="002B2F74">
      <w:pgSz w:w="12240" w:h="15840"/>
      <w:pgMar w:top="993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AB"/>
    <w:rsid w:val="002B2F74"/>
    <w:rsid w:val="002F4E59"/>
    <w:rsid w:val="003D51E8"/>
    <w:rsid w:val="0048068C"/>
    <w:rsid w:val="005D7115"/>
    <w:rsid w:val="00620419"/>
    <w:rsid w:val="00692FE4"/>
    <w:rsid w:val="006F463E"/>
    <w:rsid w:val="007B1974"/>
    <w:rsid w:val="007D795F"/>
    <w:rsid w:val="00822D92"/>
    <w:rsid w:val="00893652"/>
    <w:rsid w:val="00A348DD"/>
    <w:rsid w:val="00AA50C1"/>
    <w:rsid w:val="00BE5CF2"/>
    <w:rsid w:val="00C8599B"/>
    <w:rsid w:val="00E044E9"/>
    <w:rsid w:val="00E64EF8"/>
    <w:rsid w:val="00F437C9"/>
    <w:rsid w:val="00F5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324FA"/>
  <w14:defaultImageDpi w14:val="0"/>
  <w15:docId w15:val="{98E97108-2F3A-4ABE-A93B-0B156CC8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Kaisiadorys VVG</cp:lastModifiedBy>
  <cp:revision>3</cp:revision>
  <dcterms:created xsi:type="dcterms:W3CDTF">2023-03-14T17:03:00Z</dcterms:created>
  <dcterms:modified xsi:type="dcterms:W3CDTF">2023-03-14T17:07:00Z</dcterms:modified>
</cp:coreProperties>
</file>